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Gauzy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Ibex Investors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398,035.00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398,035.00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Ibex Investment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398,035.00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398,035.00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Justin B. Borus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398,035.00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398,035.00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139"/>
          </w:cols>
          <w:pgMar w:left="320" w:top="612"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61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Ibex Israel Fund LLLP</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335,240.00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Ibex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335,240.00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40"/>
        <w:spacing w:after="0"/>
        <w:rPr>
          <w:sz w:val="20"/>
          <w:szCs w:val="20"/>
          <w:color w:val="auto"/>
        </w:rPr>
      </w:pPr>
      <w:r>
        <w:rPr>
          <w:rFonts w:ascii="Times New Roman" w:cs="Times New Roman" w:eastAsia="Times New Roman" w:hAnsi="Times New Roman"/>
          <w:sz w:val="22"/>
          <w:szCs w:val="22"/>
          <w:color w:val="auto"/>
        </w:rPr>
        <w:t>335,240.00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335,240.00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Ibex Investment Holdings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335,240.00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8979"/>
          </w:cols>
          <w:pgMar w:left="320" w:top="112" w:right="1440" w:bottom="0" w:gutter="0" w:footer="0" w:header="0"/>
          <w:type w:val="continuous"/>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Gauzy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14 Hathiya Street, Tel Aviv, Israel 6816914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
        <w:spacing w:after="0" w:line="245" w:lineRule="auto"/>
        <w:rPr>
          <w:sz w:val="20"/>
          <w:szCs w:val="20"/>
          <w:color w:val="auto"/>
        </w:rPr>
      </w:pPr>
      <w:r>
        <w:rPr>
          <w:rFonts w:ascii="Times New Roman" w:cs="Times New Roman" w:eastAsia="Times New Roman" w:hAnsi="Times New Roman"/>
          <w:sz w:val="21"/>
          <w:szCs w:val="21"/>
          <w:color w:val="auto"/>
        </w:rPr>
        <w:t>This Schedule 13G is filed by the following (the "Reporting Persons"): (1) Ibex Investors LLC, a Colorado limited liability company (the "Investment Manager"); (2) Ibex Investment Holdings LLC, a Delaware limited liability company ("IM Holdings"); (3) Justin B. Borus; (4) Ibex Israel Fund LLLP, a Delaware limited liability limited partnership (the "Fund"); (5) Ibex GP LLC, a Colorado limited liability company (the "General Partner"); and (6) Ibex Investment Holdings II LLC, a Delaware limited liability company (the "GP Holdings") (all of the foregoing, collectively, the "Reporting Persons"). The Fund is a private investment vehicle. The Fund directly beneficially owns</w:t>
      </w:r>
    </w:p>
    <w:p>
      <w:pPr>
        <w:spacing w:after="0" w:line="3" w:lineRule="exact"/>
        <w:rPr>
          <w:sz w:val="20"/>
          <w:szCs w:val="20"/>
          <w:color w:val="auto"/>
        </w:rPr>
      </w:pPr>
    </w:p>
    <w:p>
      <w:pPr>
        <w:ind w:left="960" w:hanging="912"/>
        <w:spacing w:after="0" w:line="232"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Ordinary Shares reported in this Statement (other than 62,795 Ordinary Shares directly beneficially owned by the Investment Manager). The General Partner is the general partner of the Fund. GP Holdings is the sole member of the General Partner. The Investment Manager is the investment manager of the Fund. IM Holdings is the sole member of the Investment Manager. Justin B. Borus is the manager of the General Partner, IM Holdings, GP Holdings and the Investment Manager. The General Partner, IM Holdings, GP Holdings, the Investment Manager, and Justin B. Borus may be deemed to beneficially own the Ordinary Shares directly beneficially owned by the Fund. Justin B. Borus may be deemed to beneficially own the Ordinary Shares directly beneficially owned by the Investment Manager. Each Reporting Person disclaims beneficial ownership with respect to any shares other than the shares directly beneficially owned by such Reporting Person.</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460" w:hanging="912"/>
        <w:spacing w:after="0"/>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office of the Reporting Person is c/o Ibex Investors LLC, 101 S Madison St, Denver, CO 80209.</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For citizenship information or place of organization see Item 4 of the cover page of each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 par value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901" w:orient="portrait"/>
          <w:cols w:equalWidth="0" w:num="1">
            <w:col w:w="11100"/>
          </w:cols>
          <w:pgMar w:left="320" w:top="351" w:right="479" w:bottom="0" w:gutter="0" w:footer="0" w:header="0"/>
        </w:sectPr>
      </w:pPr>
    </w:p>
    <w:bookmarkStart w:id="6" w:name="page7"/>
    <w:bookmarkEnd w:id="6"/>
    <w:p>
      <w:pPr>
        <w:jc w:val="both"/>
        <w:ind w:left="920" w:right="540"/>
        <w:spacing w:after="0" w:line="244" w:lineRule="auto"/>
        <w:rPr>
          <w:sz w:val="20"/>
          <w:szCs w:val="20"/>
          <w:color w:val="auto"/>
        </w:rPr>
      </w:pPr>
      <w:r>
        <w:rPr>
          <w:rFonts w:ascii="Times New Roman" w:cs="Times New Roman" w:eastAsia="Times New Roman" w:hAnsi="Times New Roman"/>
          <w:sz w:val="22"/>
          <w:szCs w:val="22"/>
          <w:color w:val="auto"/>
        </w:rPr>
        <w:t>See Item 9 on the cover page for each Reporting Person, and Item 2, which information is given as of the end of business on the Event Date of March 31, 2026 (and which includes 335,240 Ordinary Shares that the Fund may acquire within 60 days through the exercise of derivative securities).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20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11 on the cover page for each Reporting Person. The percentages of beneficial ownership contained herein are based on 18,742,093 Ordinary Shares outstanding as of June 26, 2025, as reported by the Issuer in its Form F-3 filed with the SEC on July 3,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on the cover page for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6 on the cover page for each Reporting Person.</w:t>
      </w:r>
    </w:p>
    <w:p>
      <w:pPr>
        <w:spacing w:after="0" w:line="287" w:lineRule="exact"/>
        <w:rPr>
          <w:sz w:val="20"/>
          <w:szCs w:val="20"/>
          <w:color w:val="auto"/>
        </w:rPr>
      </w:pPr>
    </w:p>
    <w:p>
      <w:pPr>
        <w:jc w:val="both"/>
        <w:ind w:left="920" w:right="5320" w:firstLine="6"/>
        <w:spacing w:after="0" w:line="509" w:lineRule="auto"/>
        <w:tabs>
          <w:tab w:leader="none" w:pos="129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Item 7 on the cover page for each Reporting Person.</w:t>
      </w:r>
    </w:p>
    <w:p>
      <w:pPr>
        <w:spacing w:after="0" w:line="1" w:lineRule="exact"/>
        <w:rPr>
          <w:rFonts w:ascii="Times New Roman" w:cs="Times New Roman" w:eastAsia="Times New Roman" w:hAnsi="Times New Roman"/>
          <w:sz w:val="21"/>
          <w:szCs w:val="21"/>
          <w:color w:val="auto"/>
        </w:rPr>
      </w:pPr>
    </w:p>
    <w:p>
      <w:pPr>
        <w:ind w:left="920" w:right="5120" w:firstLine="6"/>
        <w:spacing w:after="0" w:line="509" w:lineRule="auto"/>
        <w:tabs>
          <w:tab w:leader="none" w:pos="128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Item 8 on the cover page for each Reporting Person.</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355"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Ibex Investors LLC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B. Borus</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Justin B. Borus / Authorized Signatory</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Ibex Investment Holdings LLC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B. Borus</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Justin B. Borus / Authorized Signatory</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Justin B. Borus</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B. Borus</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ectPr>
          <w:pgSz w:w="11900" w:h="16838" w:orient="portrait"/>
          <w:cols w:equalWidth="0" w:num="1">
            <w:col w:w="11140"/>
          </w:cols>
          <w:pgMar w:left="360" w:top="355" w:right="399" w:bottom="0" w:gutter="0" w:footer="0" w:header="0"/>
          <w:type w:val="continuous"/>
        </w:sectPr>
      </w:pPr>
    </w:p>
    <w:bookmarkStart w:id="7" w:name="page8"/>
    <w:bookmarkEnd w:id="7"/>
    <w:p>
      <w:pPr>
        <w:ind w:left="1100"/>
        <w:spacing w:after="0"/>
        <w:rPr>
          <w:sz w:val="20"/>
          <w:szCs w:val="20"/>
          <w:color w:val="auto"/>
        </w:rPr>
      </w:pPr>
      <w:r>
        <w:rPr>
          <w:rFonts w:ascii="Times New Roman" w:cs="Times New Roman" w:eastAsia="Times New Roman" w:hAnsi="Times New Roman"/>
          <w:sz w:val="22"/>
          <w:szCs w:val="22"/>
          <w:color w:val="auto"/>
        </w:rPr>
        <w:t>Ibex Israel Fund LLLP</w:t>
      </w:r>
    </w:p>
    <w:p>
      <w:pPr>
        <w:spacing w:after="0" w:line="153"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B. Borus</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Name/Title: Justin B. Borus / Authorized Signatory</w:t>
      </w:r>
    </w:p>
    <w:p>
      <w:pPr>
        <w:spacing w:after="0" w:line="56"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Ibex GP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B. Borus</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Name/Title: Justin B. Borus / Authorized Signatory</w:t>
      </w:r>
    </w:p>
    <w:p>
      <w:pPr>
        <w:spacing w:after="0" w:line="56"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Ibex Investment Holdings II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B. Borus</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Name/Title: Justin B. Borus / Authorized Signatory</w:t>
      </w:r>
    </w:p>
    <w:p>
      <w:pPr>
        <w:spacing w:after="0" w:line="56"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2026-05-13T10:32:02Z</dcterms:created>
  <dcterms:modified xsi:type="dcterms:W3CDTF">2026-05-13T10:32:02Z</dcterms:modified>
</cp:coreProperties>
</file>