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001-42124</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GAUZY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14 Hathiya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by Certain Employees for Order for Commencement of Proceedings in Israel</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March 23, 2026, a group of 24 employees and former employees of Gauzy Ltd. (the “Company”), including 11 current employees representing approximately 2% of the Company’s global workforce and 9% of employees in Israel, filed an application in the Tel Aviv District Court seeking an order for commencement of proceedings against the Company under the Israeli Insolvency and Economic Rehabilitation Law, 2018.</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March 25, 2026, the Company filed a response opposing the employees’ application. In its response, the Company stated, among other things, that it is actively working to secure financing, including bridge financing and evaluating strategic alternatives such as a potential sale of certain assets, and that granting the employees’ requested order at this stage could adversely affect those efforts.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26, 2026, the court declined, at this stage, to grant the requested order and instead allowed additional responses from interested parties and the Commissioner of Insolvency Proceedings and Economic Rehabilitation. A key factor</w:t>
      </w:r>
    </w:p>
    <w:p>
      <w:pPr>
        <w:spacing w:after="0" w:line="253" w:lineRule="auto"/>
        <w:rPr>
          <w:sz w:val="20"/>
          <w:szCs w:val="20"/>
          <w:color w:val="auto"/>
        </w:rPr>
      </w:pPr>
      <w:r>
        <w:rPr>
          <w:rFonts w:ascii="Times New Roman" w:cs="Times New Roman" w:eastAsia="Times New Roman" w:hAnsi="Times New Roman"/>
          <w:sz w:val="18"/>
          <w:szCs w:val="18"/>
          <w:color w:val="auto"/>
        </w:rPr>
        <w:t>underlying the court’s decision not to grant the application at that stage was the limited participation of current employees in the proceeding, compared to the majority of employees who did not join the application. The court also considered the position of Mizrahi Tefahot Bank Ltd., one of the Company’s two primary secured lenders, who filed a separate request opposing the requested order. Accordingly, as of the date of this Report, no order for commencement of proceedings has been entered against the Company in Israel.</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(this “Report”)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Forward-looking statements contained in this Report include, but are not limited to, statements regarding the employee application for an order for commencement of proceedings in Israel and the timing and outcome of that proceeding; the Company’s efforts to secure funding and maintain and support its operations, including through bridge financings, asset sale processes and other strategic alternatives; the outcome of the insolvency proceedings commenced in France and the overall impact they may have on the Company’s operations and financial condition;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statements regarding the French court-supervised reorganization proceedings (redressement judiciaire), the call for public tenders and related process, and the timing and potential outcomes of that process; Gauzy’s ability to meet stock exchange continued listing standards and remain listed on Nasdaq; Gauzy’s ability to secure funding in order to maintain and support its operations; the outcome of proceedings commenced in Israel and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ongoing geopolitical conflicts;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GAUZY LTD.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Eyal Peso</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Eyal Peso</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2026-04-08T10:27:57Z</dcterms:created>
  <dcterms:modified xsi:type="dcterms:W3CDTF">2026-04-08T10:27:57Z</dcterms:modified>
</cp:coreProperties>
</file>